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8FB" w:rsidRPr="002E38FB" w:rsidRDefault="002E38FB" w:rsidP="002E38FB">
      <w:pPr>
        <w:autoSpaceDE w:val="0"/>
        <w:autoSpaceDN w:val="0"/>
        <w:adjustRightInd w:val="0"/>
        <w:spacing w:line="360" w:lineRule="auto"/>
        <w:jc w:val="center"/>
        <w:rPr>
          <w:rFonts w:ascii="仿宋" w:eastAsia="仿宋" w:hAnsi="仿宋"/>
          <w:b/>
          <w:sz w:val="30"/>
          <w:szCs w:val="30"/>
        </w:rPr>
      </w:pPr>
      <w:r w:rsidRPr="002E38FB">
        <w:rPr>
          <w:rFonts w:ascii="仿宋" w:eastAsia="仿宋" w:hAnsi="仿宋" w:hint="eastAsia"/>
          <w:b/>
          <w:sz w:val="30"/>
          <w:szCs w:val="30"/>
        </w:rPr>
        <w:t>人民币资金池与外币资金池</w:t>
      </w:r>
    </w:p>
    <w:p w:rsidR="002E38FB" w:rsidRPr="00E23B02" w:rsidRDefault="002E38FB" w:rsidP="002E38FB">
      <w:pPr>
        <w:ind w:firstLineChars="250" w:firstLine="750"/>
        <w:rPr>
          <w:rFonts w:ascii="仿宋" w:eastAsia="仿宋" w:hAnsi="仿宋"/>
          <w:sz w:val="30"/>
          <w:szCs w:val="30"/>
        </w:rPr>
      </w:pPr>
      <w:r w:rsidRPr="00E23B02">
        <w:rPr>
          <w:rFonts w:ascii="仿宋" w:eastAsia="仿宋" w:hAnsi="仿宋"/>
          <w:sz w:val="30"/>
          <w:szCs w:val="30"/>
        </w:rPr>
        <w:t>跨国公司外汇资金集中运营管理业务正在全国稳健开展</w:t>
      </w:r>
      <w:r w:rsidRPr="00E23B02">
        <w:rPr>
          <w:rFonts w:ascii="仿宋" w:eastAsia="仿宋" w:hAnsi="仿宋" w:hint="eastAsia"/>
          <w:sz w:val="30"/>
          <w:szCs w:val="30"/>
        </w:rPr>
        <w:t>，因币种不同可分为人民币与外币两种途径管理，</w:t>
      </w:r>
      <w:r w:rsidRPr="00925A5B">
        <w:rPr>
          <w:rFonts w:ascii="仿宋" w:eastAsia="仿宋" w:hAnsi="仿宋"/>
          <w:sz w:val="30"/>
          <w:szCs w:val="30"/>
        </w:rPr>
        <w:t>其中</w:t>
      </w:r>
      <w:r w:rsidRPr="00E23B02">
        <w:rPr>
          <w:rFonts w:ascii="仿宋" w:eastAsia="仿宋" w:hAnsi="仿宋" w:hint="eastAsia"/>
          <w:sz w:val="30"/>
          <w:szCs w:val="30"/>
        </w:rPr>
        <w:t>跨境双向人民币资金</w:t>
      </w:r>
      <w:proofErr w:type="gramStart"/>
      <w:r w:rsidRPr="00E23B02">
        <w:rPr>
          <w:rFonts w:ascii="仿宋" w:eastAsia="仿宋" w:hAnsi="仿宋" w:hint="eastAsia"/>
          <w:sz w:val="30"/>
          <w:szCs w:val="30"/>
        </w:rPr>
        <w:t>池就是</w:t>
      </w:r>
      <w:proofErr w:type="gramEnd"/>
      <w:r w:rsidRPr="00E23B02">
        <w:rPr>
          <w:rFonts w:ascii="仿宋" w:eastAsia="仿宋" w:hAnsi="仿宋" w:hint="eastAsia"/>
          <w:sz w:val="30"/>
          <w:szCs w:val="30"/>
        </w:rPr>
        <w:t>指跨国企业集团根据自身经营和管理需要，在境内外非金融成员企业之间开展的跨境人民币资金余缺调剂和归集业务，属于企业集团内部的经营性融资活动。外币资金池则指跨国公司可以根据经营需要，在所在地银行开立国内外汇资金主账户，集中运营管理境内成员企业外汇资金。并可办理经常项目外汇资金集中收付汇、轧差净额结算等业务。</w:t>
      </w:r>
      <w:r w:rsidRPr="00E23B02">
        <w:rPr>
          <w:rFonts w:ascii="仿宋" w:eastAsia="仿宋" w:hAnsi="仿宋"/>
          <w:sz w:val="30"/>
          <w:szCs w:val="30"/>
        </w:rPr>
        <w:t xml:space="preserve"> </w:t>
      </w:r>
    </w:p>
    <w:p w:rsidR="002E38FB" w:rsidRPr="00E23B02" w:rsidRDefault="002E38FB" w:rsidP="002E38FB">
      <w:pPr>
        <w:ind w:firstLineChars="200" w:firstLine="600"/>
        <w:rPr>
          <w:rFonts w:ascii="仿宋" w:eastAsia="仿宋" w:hAnsi="仿宋"/>
          <w:sz w:val="30"/>
          <w:szCs w:val="30"/>
        </w:rPr>
      </w:pPr>
      <w:r w:rsidRPr="00E23B02">
        <w:rPr>
          <w:rFonts w:ascii="仿宋" w:eastAsia="仿宋" w:hAnsi="仿宋" w:hint="eastAsia"/>
          <w:sz w:val="30"/>
          <w:szCs w:val="30"/>
        </w:rPr>
        <w:t>基于两个资金池的文件援引</w:t>
      </w:r>
      <w:r w:rsidRPr="00E23B02">
        <w:rPr>
          <w:rFonts w:ascii="仿宋" w:eastAsia="仿宋" w:hAnsi="仿宋"/>
          <w:sz w:val="30"/>
          <w:szCs w:val="30"/>
        </w:rPr>
        <w:t>《中国人民银行关于跨国企业集团开展跨境人民币资金集中运营业务有关事宜的通知》</w:t>
      </w:r>
      <w:r w:rsidRPr="00E23B02">
        <w:rPr>
          <w:rFonts w:ascii="仿宋" w:eastAsia="仿宋" w:hAnsi="仿宋" w:hint="eastAsia"/>
          <w:sz w:val="30"/>
          <w:szCs w:val="30"/>
        </w:rPr>
        <w:t>和《</w:t>
      </w:r>
      <w:r w:rsidRPr="00E23B02">
        <w:rPr>
          <w:rFonts w:ascii="仿宋" w:eastAsia="仿宋" w:hAnsi="仿宋"/>
          <w:sz w:val="30"/>
          <w:szCs w:val="30"/>
        </w:rPr>
        <w:t>跨国公司外汇资金集中运营管理规定(试行)》</w:t>
      </w:r>
      <w:r w:rsidRPr="00E23B02">
        <w:rPr>
          <w:rFonts w:ascii="仿宋" w:eastAsia="仿宋" w:hAnsi="仿宋" w:hint="eastAsia"/>
          <w:sz w:val="30"/>
          <w:szCs w:val="30"/>
        </w:rPr>
        <w:t>阅读，现就两个资金池对比如下：</w:t>
      </w:r>
    </w:p>
    <w:tbl>
      <w:tblPr>
        <w:tblStyle w:val="a3"/>
        <w:tblW w:w="0" w:type="auto"/>
        <w:tblLook w:val="04A0"/>
      </w:tblPr>
      <w:tblGrid>
        <w:gridCol w:w="1526"/>
        <w:gridCol w:w="3544"/>
        <w:gridCol w:w="3452"/>
      </w:tblGrid>
      <w:tr w:rsidR="002E38FB" w:rsidRPr="00E23B02" w:rsidTr="002C538C">
        <w:trPr>
          <w:trHeight w:val="635"/>
        </w:trPr>
        <w:tc>
          <w:tcPr>
            <w:tcW w:w="1526" w:type="dxa"/>
            <w:vAlign w:val="center"/>
          </w:tcPr>
          <w:p w:rsidR="002E38FB" w:rsidRPr="00E23B02" w:rsidRDefault="002E38FB" w:rsidP="002C538C">
            <w:pPr>
              <w:pStyle w:val="Default"/>
              <w:jc w:val="center"/>
              <w:rPr>
                <w:rFonts w:ascii="仿宋" w:eastAsia="仿宋" w:hAnsi="仿宋"/>
                <w:b/>
              </w:rPr>
            </w:pPr>
            <w:r w:rsidRPr="00E23B02">
              <w:rPr>
                <w:rFonts w:ascii="仿宋" w:eastAsia="仿宋" w:hAnsi="仿宋" w:hint="eastAsia"/>
                <w:b/>
              </w:rPr>
              <w:t>项目</w:t>
            </w:r>
          </w:p>
        </w:tc>
        <w:tc>
          <w:tcPr>
            <w:tcW w:w="3544" w:type="dxa"/>
            <w:vAlign w:val="center"/>
          </w:tcPr>
          <w:p w:rsidR="002E38FB" w:rsidRPr="00E23B02" w:rsidRDefault="002E38FB" w:rsidP="002C538C">
            <w:pPr>
              <w:pStyle w:val="Default"/>
              <w:jc w:val="center"/>
              <w:rPr>
                <w:rFonts w:ascii="仿宋" w:eastAsia="仿宋" w:hAnsi="仿宋"/>
                <w:b/>
              </w:rPr>
            </w:pPr>
            <w:r w:rsidRPr="00E23B02">
              <w:rPr>
                <w:rFonts w:ascii="仿宋" w:eastAsia="仿宋" w:hAnsi="仿宋" w:cs="宋体" w:hint="eastAsia"/>
                <w:b/>
                <w:spacing w:val="15"/>
              </w:rPr>
              <w:t>人民币资金池</w:t>
            </w:r>
          </w:p>
        </w:tc>
        <w:tc>
          <w:tcPr>
            <w:tcW w:w="3452" w:type="dxa"/>
            <w:vAlign w:val="center"/>
          </w:tcPr>
          <w:p w:rsidR="002E38FB" w:rsidRPr="00E23B02" w:rsidRDefault="002E38FB" w:rsidP="002C538C">
            <w:pPr>
              <w:pStyle w:val="Default"/>
              <w:jc w:val="center"/>
              <w:rPr>
                <w:rFonts w:ascii="仿宋" w:eastAsia="仿宋" w:hAnsi="仿宋"/>
                <w:b/>
              </w:rPr>
            </w:pPr>
            <w:r w:rsidRPr="00E23B02">
              <w:rPr>
                <w:rFonts w:ascii="仿宋" w:eastAsia="仿宋" w:hAnsi="仿宋" w:cs="宋体" w:hint="eastAsia"/>
                <w:b/>
                <w:spacing w:val="15"/>
              </w:rPr>
              <w:t>外币资金池</w:t>
            </w:r>
          </w:p>
        </w:tc>
      </w:tr>
      <w:tr w:rsidR="002E38FB" w:rsidRPr="00E23B02" w:rsidTr="002C538C">
        <w:tc>
          <w:tcPr>
            <w:tcW w:w="1526" w:type="dxa"/>
            <w:vAlign w:val="center"/>
          </w:tcPr>
          <w:p w:rsidR="002E38FB" w:rsidRPr="00E23B02" w:rsidRDefault="002E38FB" w:rsidP="002C538C">
            <w:pPr>
              <w:pStyle w:val="Default"/>
              <w:jc w:val="center"/>
              <w:rPr>
                <w:rFonts w:ascii="仿宋" w:eastAsia="仿宋" w:hAnsi="仿宋"/>
              </w:rPr>
            </w:pPr>
            <w:r w:rsidRPr="00E23B02">
              <w:rPr>
                <w:rFonts w:ascii="仿宋" w:eastAsia="仿宋" w:hAnsi="仿宋" w:hint="eastAsia"/>
              </w:rPr>
              <w:t>准入条件</w:t>
            </w:r>
          </w:p>
        </w:tc>
        <w:tc>
          <w:tcPr>
            <w:tcW w:w="3544" w:type="dxa"/>
            <w:vAlign w:val="center"/>
          </w:tcPr>
          <w:p w:rsidR="002E38FB" w:rsidRPr="00E23B02" w:rsidRDefault="002E38FB" w:rsidP="002C538C">
            <w:pPr>
              <w:pStyle w:val="Default"/>
              <w:jc w:val="center"/>
              <w:rPr>
                <w:rFonts w:ascii="仿宋" w:eastAsia="仿宋" w:hAnsi="仿宋" w:cs="宋体"/>
                <w:spacing w:val="15"/>
              </w:rPr>
            </w:pPr>
            <w:r w:rsidRPr="00E23B02">
              <w:rPr>
                <w:rFonts w:ascii="仿宋" w:eastAsia="仿宋" w:hAnsi="仿宋" w:cs="宋体" w:hint="eastAsia"/>
                <w:spacing w:val="15"/>
              </w:rPr>
              <w:t>境内成员企业上年度营业收入合计不低于50亿人民币，境外成员企业上年度营业收入合计不低于10亿人民币，</w:t>
            </w:r>
          </w:p>
        </w:tc>
        <w:tc>
          <w:tcPr>
            <w:tcW w:w="3452" w:type="dxa"/>
            <w:vAlign w:val="center"/>
          </w:tcPr>
          <w:p w:rsidR="002E38FB" w:rsidRPr="00E23B02" w:rsidRDefault="002E38FB" w:rsidP="002C538C">
            <w:pPr>
              <w:pStyle w:val="Default"/>
              <w:jc w:val="center"/>
              <w:rPr>
                <w:rFonts w:ascii="仿宋" w:eastAsia="仿宋" w:hAnsi="仿宋" w:cs="宋体"/>
                <w:spacing w:val="15"/>
              </w:rPr>
            </w:pPr>
            <w:r w:rsidRPr="00E23B02">
              <w:rPr>
                <w:rFonts w:ascii="仿宋" w:eastAsia="仿宋" w:hAnsi="仿宋" w:cs="宋体" w:hint="eastAsia"/>
                <w:spacing w:val="15"/>
              </w:rPr>
              <w:t>成员企业上年度外汇</w:t>
            </w:r>
            <w:proofErr w:type="gramStart"/>
            <w:r w:rsidRPr="00E23B02">
              <w:rPr>
                <w:rFonts w:ascii="仿宋" w:eastAsia="仿宋" w:hAnsi="仿宋" w:cs="宋体" w:hint="eastAsia"/>
                <w:spacing w:val="15"/>
              </w:rPr>
              <w:t>收支超</w:t>
            </w:r>
            <w:proofErr w:type="gramEnd"/>
            <w:r w:rsidRPr="00E23B02">
              <w:rPr>
                <w:rFonts w:ascii="仿宋" w:eastAsia="仿宋" w:hAnsi="仿宋" w:cs="宋体" w:hint="eastAsia"/>
                <w:spacing w:val="15"/>
              </w:rPr>
              <w:t>1亿美元</w:t>
            </w:r>
          </w:p>
        </w:tc>
      </w:tr>
      <w:tr w:rsidR="002E38FB" w:rsidRPr="00E23B02" w:rsidTr="002C538C">
        <w:tc>
          <w:tcPr>
            <w:tcW w:w="1526" w:type="dxa"/>
            <w:vAlign w:val="center"/>
          </w:tcPr>
          <w:p w:rsidR="002E38FB" w:rsidRPr="00E23B02" w:rsidRDefault="002E38FB" w:rsidP="002C538C">
            <w:pPr>
              <w:pStyle w:val="Default"/>
              <w:jc w:val="center"/>
              <w:rPr>
                <w:rFonts w:ascii="仿宋" w:eastAsia="仿宋" w:hAnsi="仿宋"/>
              </w:rPr>
            </w:pPr>
            <w:r w:rsidRPr="00E23B02">
              <w:rPr>
                <w:rFonts w:ascii="仿宋" w:eastAsia="仿宋" w:hAnsi="仿宋" w:hint="eastAsia"/>
              </w:rPr>
              <w:t>股权关系</w:t>
            </w:r>
          </w:p>
        </w:tc>
        <w:tc>
          <w:tcPr>
            <w:tcW w:w="3544" w:type="dxa"/>
            <w:vAlign w:val="center"/>
          </w:tcPr>
          <w:p w:rsidR="002E38FB" w:rsidRPr="00E23B02" w:rsidRDefault="002E38FB" w:rsidP="002C538C">
            <w:pPr>
              <w:pStyle w:val="Default"/>
              <w:jc w:val="center"/>
              <w:rPr>
                <w:rFonts w:ascii="仿宋" w:eastAsia="仿宋" w:hAnsi="仿宋" w:cs="宋体"/>
                <w:spacing w:val="15"/>
              </w:rPr>
            </w:pPr>
            <w:r w:rsidRPr="00E23B02">
              <w:rPr>
                <w:rFonts w:ascii="仿宋" w:eastAsia="仿宋" w:hAnsi="仿宋" w:cs="宋体" w:hint="eastAsia"/>
                <w:spacing w:val="15"/>
              </w:rPr>
              <w:t>对成员企业有持股比例要求</w:t>
            </w:r>
          </w:p>
        </w:tc>
        <w:tc>
          <w:tcPr>
            <w:tcW w:w="3452" w:type="dxa"/>
            <w:vAlign w:val="center"/>
          </w:tcPr>
          <w:p w:rsidR="002E38FB" w:rsidRPr="00E23B02" w:rsidRDefault="002E38FB" w:rsidP="002C538C">
            <w:pPr>
              <w:pStyle w:val="Default"/>
              <w:jc w:val="center"/>
              <w:rPr>
                <w:rFonts w:ascii="仿宋" w:eastAsia="仿宋" w:hAnsi="仿宋" w:cs="宋体"/>
                <w:spacing w:val="15"/>
              </w:rPr>
            </w:pPr>
            <w:r w:rsidRPr="00E23B02">
              <w:rPr>
                <w:rFonts w:ascii="仿宋" w:eastAsia="仿宋" w:hAnsi="仿宋" w:cs="宋体" w:hint="eastAsia"/>
                <w:spacing w:val="15"/>
              </w:rPr>
              <w:t>无</w:t>
            </w:r>
          </w:p>
        </w:tc>
      </w:tr>
      <w:tr w:rsidR="002E38FB" w:rsidRPr="00E23B02" w:rsidTr="002C538C">
        <w:tc>
          <w:tcPr>
            <w:tcW w:w="1526" w:type="dxa"/>
            <w:vAlign w:val="center"/>
          </w:tcPr>
          <w:p w:rsidR="002E38FB" w:rsidRPr="00E23B02" w:rsidRDefault="002E38FB" w:rsidP="002C538C">
            <w:pPr>
              <w:pStyle w:val="Default"/>
              <w:jc w:val="center"/>
              <w:rPr>
                <w:rFonts w:ascii="仿宋" w:eastAsia="仿宋" w:hAnsi="仿宋"/>
              </w:rPr>
            </w:pPr>
            <w:r w:rsidRPr="00E23B02">
              <w:rPr>
                <w:rFonts w:ascii="仿宋" w:eastAsia="仿宋" w:hAnsi="仿宋" w:hint="eastAsia"/>
              </w:rPr>
              <w:t>行业限制</w:t>
            </w:r>
          </w:p>
        </w:tc>
        <w:tc>
          <w:tcPr>
            <w:tcW w:w="3544" w:type="dxa"/>
            <w:vAlign w:val="center"/>
          </w:tcPr>
          <w:p w:rsidR="002E38FB" w:rsidRPr="00E23B02" w:rsidRDefault="002E38FB" w:rsidP="002C538C">
            <w:pPr>
              <w:pStyle w:val="Default"/>
              <w:jc w:val="center"/>
              <w:rPr>
                <w:rFonts w:ascii="仿宋" w:eastAsia="仿宋" w:hAnsi="仿宋" w:cs="宋体"/>
                <w:spacing w:val="15"/>
              </w:rPr>
            </w:pPr>
            <w:r w:rsidRPr="00E23B02">
              <w:rPr>
                <w:rFonts w:ascii="仿宋" w:eastAsia="仿宋" w:hAnsi="仿宋" w:cs="宋体" w:hint="eastAsia"/>
                <w:spacing w:val="15"/>
              </w:rPr>
              <w:t>成员企业不得属于地方融资平台、房地产企业</w:t>
            </w:r>
          </w:p>
        </w:tc>
        <w:tc>
          <w:tcPr>
            <w:tcW w:w="3452" w:type="dxa"/>
            <w:vAlign w:val="center"/>
          </w:tcPr>
          <w:p w:rsidR="002E38FB" w:rsidRPr="00E23B02" w:rsidRDefault="002E38FB" w:rsidP="002C538C">
            <w:pPr>
              <w:pStyle w:val="Default"/>
              <w:jc w:val="center"/>
              <w:rPr>
                <w:rFonts w:ascii="仿宋" w:eastAsia="仿宋" w:hAnsi="仿宋" w:cs="宋体"/>
                <w:spacing w:val="15"/>
              </w:rPr>
            </w:pPr>
            <w:r w:rsidRPr="00E23B02">
              <w:rPr>
                <w:rFonts w:ascii="仿宋" w:eastAsia="仿宋" w:hAnsi="仿宋" w:cs="宋体" w:hint="eastAsia"/>
                <w:spacing w:val="15"/>
              </w:rPr>
              <w:t>无</w:t>
            </w:r>
          </w:p>
        </w:tc>
      </w:tr>
      <w:tr w:rsidR="002E38FB" w:rsidRPr="00E23B02" w:rsidTr="002C538C">
        <w:tc>
          <w:tcPr>
            <w:tcW w:w="1526" w:type="dxa"/>
            <w:vAlign w:val="center"/>
          </w:tcPr>
          <w:p w:rsidR="002E38FB" w:rsidRPr="00E23B02" w:rsidRDefault="002E38FB" w:rsidP="002C538C">
            <w:pPr>
              <w:pStyle w:val="Default"/>
              <w:jc w:val="center"/>
              <w:rPr>
                <w:rFonts w:ascii="仿宋" w:eastAsia="仿宋" w:hAnsi="仿宋"/>
              </w:rPr>
            </w:pPr>
            <w:r w:rsidRPr="00E23B02">
              <w:rPr>
                <w:rFonts w:ascii="仿宋" w:eastAsia="仿宋" w:hAnsi="仿宋" w:hint="eastAsia"/>
              </w:rPr>
              <w:t>银行选择</w:t>
            </w:r>
          </w:p>
        </w:tc>
        <w:tc>
          <w:tcPr>
            <w:tcW w:w="3544" w:type="dxa"/>
            <w:vAlign w:val="center"/>
          </w:tcPr>
          <w:p w:rsidR="002E38FB" w:rsidRPr="00E23B02" w:rsidRDefault="002E38FB" w:rsidP="002C538C">
            <w:pPr>
              <w:pStyle w:val="Default"/>
              <w:jc w:val="center"/>
              <w:rPr>
                <w:rFonts w:ascii="仿宋" w:eastAsia="仿宋" w:hAnsi="仿宋" w:cs="宋体"/>
                <w:spacing w:val="15"/>
              </w:rPr>
            </w:pPr>
            <w:r w:rsidRPr="00E23B02">
              <w:rPr>
                <w:rFonts w:ascii="仿宋" w:eastAsia="仿宋" w:hAnsi="仿宋" w:cs="宋体" w:hint="eastAsia"/>
                <w:spacing w:val="15"/>
              </w:rPr>
              <w:t>资质无限制，但原则上为一家</w:t>
            </w:r>
          </w:p>
        </w:tc>
        <w:tc>
          <w:tcPr>
            <w:tcW w:w="3452" w:type="dxa"/>
            <w:vAlign w:val="center"/>
          </w:tcPr>
          <w:p w:rsidR="002E38FB" w:rsidRPr="00E23B02" w:rsidRDefault="002E38FB" w:rsidP="002C538C">
            <w:pPr>
              <w:pStyle w:val="Default"/>
              <w:jc w:val="center"/>
              <w:rPr>
                <w:rFonts w:ascii="仿宋" w:eastAsia="仿宋" w:hAnsi="仿宋" w:cs="宋体"/>
                <w:spacing w:val="15"/>
              </w:rPr>
            </w:pPr>
            <w:r w:rsidRPr="00E23B02">
              <w:rPr>
                <w:rFonts w:ascii="仿宋" w:eastAsia="仿宋" w:hAnsi="仿宋"/>
                <w:spacing w:val="15"/>
              </w:rPr>
              <w:t>开户行应为近三年执行外汇管理规定年度考核B类及以上</w:t>
            </w:r>
            <w:r w:rsidRPr="00E23B02">
              <w:rPr>
                <w:rFonts w:ascii="仿宋" w:eastAsia="仿宋" w:hAnsi="仿宋" w:hint="eastAsia"/>
                <w:spacing w:val="15"/>
              </w:rPr>
              <w:t>，数量1-3家</w:t>
            </w:r>
          </w:p>
        </w:tc>
      </w:tr>
      <w:tr w:rsidR="002E38FB" w:rsidRPr="00E23B02" w:rsidTr="002C538C">
        <w:tc>
          <w:tcPr>
            <w:tcW w:w="1526" w:type="dxa"/>
            <w:vAlign w:val="center"/>
          </w:tcPr>
          <w:p w:rsidR="002E38FB" w:rsidRPr="00E23B02" w:rsidRDefault="002E38FB" w:rsidP="002C538C">
            <w:pPr>
              <w:pStyle w:val="Default"/>
              <w:jc w:val="center"/>
              <w:rPr>
                <w:rFonts w:ascii="仿宋" w:eastAsia="仿宋" w:hAnsi="仿宋"/>
              </w:rPr>
            </w:pPr>
            <w:r w:rsidRPr="00E23B02">
              <w:rPr>
                <w:rFonts w:ascii="仿宋" w:eastAsia="仿宋" w:hAnsi="仿宋" w:hint="eastAsia"/>
              </w:rPr>
              <w:t>准入形式</w:t>
            </w:r>
          </w:p>
        </w:tc>
        <w:tc>
          <w:tcPr>
            <w:tcW w:w="3544" w:type="dxa"/>
            <w:vAlign w:val="center"/>
          </w:tcPr>
          <w:p w:rsidR="002E38FB" w:rsidRPr="00E23B02" w:rsidRDefault="002E38FB" w:rsidP="002C538C">
            <w:pPr>
              <w:pStyle w:val="Default"/>
              <w:jc w:val="center"/>
              <w:rPr>
                <w:rFonts w:ascii="仿宋" w:eastAsia="仿宋" w:hAnsi="仿宋" w:cs="宋体"/>
                <w:spacing w:val="15"/>
              </w:rPr>
            </w:pPr>
            <w:r w:rsidRPr="00E23B02">
              <w:rPr>
                <w:rFonts w:ascii="仿宋" w:eastAsia="仿宋" w:hAnsi="仿宋" w:cs="宋体" w:hint="eastAsia"/>
                <w:spacing w:val="15"/>
              </w:rPr>
              <w:t>银行为主体备案</w:t>
            </w:r>
          </w:p>
        </w:tc>
        <w:tc>
          <w:tcPr>
            <w:tcW w:w="3452" w:type="dxa"/>
            <w:vAlign w:val="center"/>
          </w:tcPr>
          <w:p w:rsidR="002E38FB" w:rsidRPr="00E23B02" w:rsidRDefault="002E38FB" w:rsidP="002C538C">
            <w:pPr>
              <w:pStyle w:val="Default"/>
              <w:jc w:val="center"/>
              <w:rPr>
                <w:rFonts w:ascii="仿宋" w:eastAsia="仿宋" w:hAnsi="仿宋" w:cs="宋体"/>
                <w:spacing w:val="15"/>
              </w:rPr>
            </w:pPr>
            <w:r w:rsidRPr="00E23B02">
              <w:rPr>
                <w:rFonts w:ascii="仿宋" w:eastAsia="仿宋" w:hAnsi="仿宋" w:cs="宋体" w:hint="eastAsia"/>
                <w:spacing w:val="15"/>
              </w:rPr>
              <w:t>企业为主体备案</w:t>
            </w:r>
          </w:p>
        </w:tc>
      </w:tr>
      <w:tr w:rsidR="002E38FB" w:rsidRPr="00E23B02" w:rsidTr="002C538C">
        <w:tc>
          <w:tcPr>
            <w:tcW w:w="1526" w:type="dxa"/>
            <w:vAlign w:val="center"/>
          </w:tcPr>
          <w:p w:rsidR="002E38FB" w:rsidRPr="00E23B02" w:rsidRDefault="002E38FB" w:rsidP="002C538C">
            <w:pPr>
              <w:pStyle w:val="Default"/>
              <w:jc w:val="center"/>
              <w:rPr>
                <w:rFonts w:ascii="仿宋" w:eastAsia="仿宋" w:hAnsi="仿宋"/>
              </w:rPr>
            </w:pPr>
            <w:r w:rsidRPr="00E23B02">
              <w:rPr>
                <w:rFonts w:ascii="仿宋" w:eastAsia="仿宋" w:hAnsi="仿宋" w:hint="eastAsia"/>
              </w:rPr>
              <w:t>账户模式</w:t>
            </w:r>
          </w:p>
        </w:tc>
        <w:tc>
          <w:tcPr>
            <w:tcW w:w="3544" w:type="dxa"/>
            <w:vAlign w:val="center"/>
          </w:tcPr>
          <w:p w:rsidR="002E38FB" w:rsidRPr="00E23B02" w:rsidRDefault="002E38FB" w:rsidP="002C538C">
            <w:pPr>
              <w:pStyle w:val="Default"/>
              <w:jc w:val="center"/>
              <w:rPr>
                <w:rFonts w:ascii="仿宋" w:eastAsia="仿宋" w:hAnsi="仿宋" w:cs="宋体"/>
                <w:spacing w:val="15"/>
              </w:rPr>
            </w:pPr>
            <w:r w:rsidRPr="00E23B02">
              <w:rPr>
                <w:rFonts w:ascii="仿宋" w:eastAsia="仿宋" w:hAnsi="仿宋" w:cs="Helvetica" w:hint="eastAsia"/>
                <w:color w:val="222222"/>
                <w:shd w:val="clear" w:color="auto" w:fill="FFFFFF"/>
              </w:rPr>
              <w:t>两种：一种是</w:t>
            </w:r>
            <w:r w:rsidRPr="00E23B02">
              <w:rPr>
                <w:rFonts w:ascii="仿宋" w:eastAsia="仿宋" w:hAnsi="仿宋" w:cs="Helvetica"/>
                <w:color w:val="222222"/>
                <w:shd w:val="clear" w:color="auto" w:fill="FFFFFF"/>
              </w:rPr>
              <w:t>境内有一个资金池，境外一个资金池，然后进行跨境的资金划拨</w:t>
            </w:r>
            <w:r>
              <w:rPr>
                <w:rFonts w:ascii="仿宋" w:eastAsia="仿宋" w:hAnsi="仿宋" w:cs="Helvetica" w:hint="eastAsia"/>
                <w:color w:val="222222"/>
                <w:shd w:val="clear" w:color="auto" w:fill="FFFFFF"/>
              </w:rPr>
              <w:t>；</w:t>
            </w:r>
            <w:r w:rsidRPr="00E23B02">
              <w:rPr>
                <w:rFonts w:ascii="仿宋" w:eastAsia="仿宋" w:hAnsi="仿宋" w:cs="Helvetica" w:hint="eastAsia"/>
                <w:color w:val="222222"/>
                <w:shd w:val="clear" w:color="auto" w:fill="FFFFFF"/>
              </w:rPr>
              <w:t>另一种</w:t>
            </w:r>
            <w:r w:rsidRPr="00E23B02">
              <w:rPr>
                <w:rFonts w:ascii="仿宋" w:eastAsia="仿宋" w:hAnsi="仿宋" w:cs="Helvetica"/>
                <w:color w:val="222222"/>
                <w:shd w:val="clear" w:color="auto" w:fill="FFFFFF"/>
              </w:rPr>
              <w:t>，即</w:t>
            </w:r>
            <w:proofErr w:type="gramStart"/>
            <w:r w:rsidRPr="00E23B02">
              <w:rPr>
                <w:rFonts w:ascii="仿宋" w:eastAsia="仿宋" w:hAnsi="仿宋" w:cs="Helvetica"/>
                <w:color w:val="222222"/>
                <w:shd w:val="clear" w:color="auto" w:fill="FFFFFF"/>
              </w:rPr>
              <w:t>不</w:t>
            </w:r>
            <w:proofErr w:type="gramEnd"/>
            <w:r w:rsidRPr="00E23B02">
              <w:rPr>
                <w:rFonts w:ascii="仿宋" w:eastAsia="仿宋" w:hAnsi="仿宋" w:cs="Helvetica"/>
                <w:color w:val="222222"/>
                <w:shd w:val="clear" w:color="auto" w:fill="FFFFFF"/>
              </w:rPr>
              <w:t>开设境外资金池的总归集账户，境外成员企业的资金直接归集到境内资金池主账户中。</w:t>
            </w:r>
          </w:p>
        </w:tc>
        <w:tc>
          <w:tcPr>
            <w:tcW w:w="3452" w:type="dxa"/>
            <w:vAlign w:val="center"/>
          </w:tcPr>
          <w:p w:rsidR="002E38FB" w:rsidRPr="00E23B02" w:rsidRDefault="002E38FB" w:rsidP="002C538C">
            <w:pPr>
              <w:pStyle w:val="Default"/>
              <w:jc w:val="center"/>
              <w:rPr>
                <w:rFonts w:ascii="仿宋" w:eastAsia="仿宋" w:hAnsi="仿宋" w:cs="宋体"/>
                <w:spacing w:val="15"/>
              </w:rPr>
            </w:pPr>
            <w:r w:rsidRPr="00E23B02">
              <w:rPr>
                <w:rFonts w:ascii="仿宋" w:eastAsia="仿宋" w:hAnsi="仿宋" w:cs="宋体" w:hint="eastAsia"/>
                <w:spacing w:val="15"/>
              </w:rPr>
              <w:t>境内开立两个账户即国内资金主账户和国际资金主账户</w:t>
            </w:r>
          </w:p>
        </w:tc>
      </w:tr>
      <w:tr w:rsidR="002E38FB" w:rsidRPr="00E23B02" w:rsidTr="002C538C">
        <w:tc>
          <w:tcPr>
            <w:tcW w:w="1526" w:type="dxa"/>
            <w:vAlign w:val="center"/>
          </w:tcPr>
          <w:p w:rsidR="002E38FB" w:rsidRPr="00E23B02" w:rsidRDefault="002E38FB" w:rsidP="002C538C">
            <w:pPr>
              <w:pStyle w:val="Default"/>
              <w:jc w:val="center"/>
              <w:rPr>
                <w:rFonts w:ascii="仿宋" w:eastAsia="仿宋" w:hAnsi="仿宋"/>
              </w:rPr>
            </w:pPr>
            <w:r w:rsidRPr="00E23B02">
              <w:rPr>
                <w:rFonts w:ascii="仿宋" w:eastAsia="仿宋" w:hAnsi="仿宋" w:hint="eastAsia"/>
              </w:rPr>
              <w:lastRenderedPageBreak/>
              <w:t>额度管理</w:t>
            </w:r>
          </w:p>
        </w:tc>
        <w:tc>
          <w:tcPr>
            <w:tcW w:w="3544" w:type="dxa"/>
            <w:vAlign w:val="center"/>
          </w:tcPr>
          <w:p w:rsidR="002E38FB" w:rsidRPr="00E23B02" w:rsidRDefault="002E38FB" w:rsidP="002C538C">
            <w:pPr>
              <w:pStyle w:val="Default"/>
              <w:jc w:val="center"/>
              <w:rPr>
                <w:rFonts w:ascii="仿宋" w:eastAsia="仿宋" w:hAnsi="仿宋" w:cs="Helvetica"/>
                <w:color w:val="222222"/>
                <w:shd w:val="clear" w:color="auto" w:fill="FFFFFF"/>
              </w:rPr>
            </w:pPr>
            <w:proofErr w:type="gramStart"/>
            <w:r w:rsidRPr="00E23B02">
              <w:rPr>
                <w:rFonts w:ascii="仿宋" w:eastAsia="仿宋" w:hAnsi="仿宋"/>
                <w:spacing w:val="15"/>
              </w:rPr>
              <w:t>对净融出</w:t>
            </w:r>
            <w:proofErr w:type="gramEnd"/>
            <w:r w:rsidRPr="00E23B02">
              <w:rPr>
                <w:rFonts w:ascii="仿宋" w:eastAsia="仿宋" w:hAnsi="仿宋"/>
                <w:spacing w:val="15"/>
              </w:rPr>
              <w:t>额不设限;对净融入</w:t>
            </w:r>
            <w:proofErr w:type="gramStart"/>
            <w:r w:rsidRPr="00E23B02">
              <w:rPr>
                <w:rFonts w:ascii="仿宋" w:eastAsia="仿宋" w:hAnsi="仿宋"/>
                <w:spacing w:val="15"/>
              </w:rPr>
              <w:t>额实行</w:t>
            </w:r>
            <w:proofErr w:type="gramEnd"/>
            <w:r w:rsidRPr="00E23B02">
              <w:rPr>
                <w:rFonts w:ascii="仿宋" w:eastAsia="仿宋" w:hAnsi="仿宋"/>
                <w:spacing w:val="15"/>
              </w:rPr>
              <w:t>上限管理</w:t>
            </w:r>
          </w:p>
        </w:tc>
        <w:tc>
          <w:tcPr>
            <w:tcW w:w="3452" w:type="dxa"/>
            <w:vAlign w:val="center"/>
          </w:tcPr>
          <w:p w:rsidR="002E38FB" w:rsidRPr="00E23B02" w:rsidRDefault="002E38FB" w:rsidP="002C538C">
            <w:pPr>
              <w:pStyle w:val="Default"/>
              <w:jc w:val="center"/>
              <w:rPr>
                <w:rFonts w:ascii="仿宋" w:eastAsia="仿宋" w:hAnsi="仿宋" w:cs="宋体"/>
                <w:spacing w:val="15"/>
              </w:rPr>
            </w:pPr>
            <w:r w:rsidRPr="00E23B02">
              <w:rPr>
                <w:rFonts w:ascii="仿宋" w:eastAsia="仿宋" w:hAnsi="仿宋"/>
                <w:spacing w:val="15"/>
              </w:rPr>
              <w:t>对净流入额和净流出额都设有上限</w:t>
            </w:r>
          </w:p>
        </w:tc>
      </w:tr>
      <w:tr w:rsidR="002E38FB" w:rsidRPr="00E23B02" w:rsidTr="002C538C">
        <w:tc>
          <w:tcPr>
            <w:tcW w:w="1526" w:type="dxa"/>
            <w:vAlign w:val="center"/>
          </w:tcPr>
          <w:p w:rsidR="002E38FB" w:rsidRPr="00E23B02" w:rsidRDefault="002E38FB" w:rsidP="002C538C">
            <w:pPr>
              <w:pStyle w:val="Default"/>
              <w:jc w:val="center"/>
              <w:rPr>
                <w:rFonts w:ascii="仿宋" w:eastAsia="仿宋" w:hAnsi="仿宋"/>
              </w:rPr>
            </w:pPr>
            <w:r w:rsidRPr="00E23B02">
              <w:rPr>
                <w:rFonts w:ascii="仿宋" w:eastAsia="仿宋" w:hAnsi="仿宋" w:hint="eastAsia"/>
              </w:rPr>
              <w:t>资金用途</w:t>
            </w:r>
          </w:p>
        </w:tc>
        <w:tc>
          <w:tcPr>
            <w:tcW w:w="3544" w:type="dxa"/>
            <w:vAlign w:val="center"/>
          </w:tcPr>
          <w:p w:rsidR="002E38FB" w:rsidRPr="00E23B02" w:rsidRDefault="002E38FB" w:rsidP="002C538C">
            <w:pPr>
              <w:pStyle w:val="Default"/>
              <w:jc w:val="center"/>
              <w:rPr>
                <w:rFonts w:ascii="仿宋" w:eastAsia="仿宋" w:hAnsi="仿宋"/>
                <w:spacing w:val="15"/>
              </w:rPr>
            </w:pPr>
            <w:r w:rsidRPr="00E23B02">
              <w:rPr>
                <w:rFonts w:ascii="仿宋" w:eastAsia="仿宋" w:hAnsi="仿宋"/>
                <w:spacing w:val="15"/>
              </w:rPr>
              <w:t>资金不得投资有价证券、金融衍生品以及非自用房地产，不得用于购买理财产品和向非成员企业发放委托贷款</w:t>
            </w:r>
          </w:p>
        </w:tc>
        <w:tc>
          <w:tcPr>
            <w:tcW w:w="3452" w:type="dxa"/>
            <w:vAlign w:val="center"/>
          </w:tcPr>
          <w:p w:rsidR="002E38FB" w:rsidRPr="00E23B02" w:rsidRDefault="002E38FB" w:rsidP="002C538C">
            <w:pPr>
              <w:pStyle w:val="Default"/>
              <w:jc w:val="center"/>
              <w:rPr>
                <w:rFonts w:ascii="仿宋" w:eastAsia="仿宋" w:hAnsi="仿宋"/>
                <w:spacing w:val="15"/>
              </w:rPr>
            </w:pPr>
            <w:r w:rsidRPr="00E23B02">
              <w:rPr>
                <w:rFonts w:ascii="仿宋" w:eastAsia="仿宋" w:hAnsi="仿宋"/>
                <w:spacing w:val="15"/>
              </w:rPr>
              <w:t>不得直接或间接用于证券和衍生</w:t>
            </w:r>
            <w:proofErr w:type="gramStart"/>
            <w:r w:rsidRPr="00E23B02">
              <w:rPr>
                <w:rFonts w:ascii="仿宋" w:eastAsia="仿宋" w:hAnsi="仿宋"/>
                <w:spacing w:val="15"/>
              </w:rPr>
              <w:t>品投资</w:t>
            </w:r>
            <w:proofErr w:type="gramEnd"/>
            <w:r w:rsidRPr="00E23B02">
              <w:rPr>
                <w:rFonts w:ascii="仿宋" w:eastAsia="仿宋" w:hAnsi="仿宋"/>
                <w:spacing w:val="15"/>
              </w:rPr>
              <w:t>;不得直接或间接用于发放人民币委托贷款(经营范围许可的除外)、偿还企业间借贷(含第三方垫款)以及偿还已转贷予第三方的银行人民币贷款;除外商投资房地产企业外，不得用于支付购买非自用房地产</w:t>
            </w:r>
          </w:p>
        </w:tc>
      </w:tr>
    </w:tbl>
    <w:p w:rsidR="002E38FB" w:rsidRDefault="002E38FB" w:rsidP="002E38FB">
      <w:pPr>
        <w:pStyle w:val="Default"/>
        <w:rPr>
          <w:sz w:val="30"/>
          <w:szCs w:val="30"/>
        </w:rPr>
      </w:pPr>
    </w:p>
    <w:p w:rsidR="002E38FB" w:rsidRPr="00E23B02" w:rsidRDefault="002E38FB" w:rsidP="002E38FB">
      <w:pPr>
        <w:ind w:firstLineChars="200" w:firstLine="600"/>
        <w:rPr>
          <w:rFonts w:ascii="仿宋" w:eastAsia="仿宋" w:hAnsi="仿宋"/>
          <w:sz w:val="30"/>
          <w:szCs w:val="30"/>
        </w:rPr>
      </w:pPr>
    </w:p>
    <w:p w:rsidR="00F6577A" w:rsidRPr="002E38FB" w:rsidRDefault="00F6577A"/>
    <w:sectPr w:rsidR="00F6577A" w:rsidRPr="002E38FB" w:rsidSect="00602CEC">
      <w:pgSz w:w="11906" w:h="16838"/>
      <w:pgMar w:top="1440" w:right="1800" w:bottom="1135"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Arial"/>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E38FB"/>
    <w:rsid w:val="00001D2B"/>
    <w:rsid w:val="0001407D"/>
    <w:rsid w:val="00016B30"/>
    <w:rsid w:val="00017219"/>
    <w:rsid w:val="00021091"/>
    <w:rsid w:val="000230B0"/>
    <w:rsid w:val="00023C86"/>
    <w:rsid w:val="000256A4"/>
    <w:rsid w:val="00025F02"/>
    <w:rsid w:val="000318A7"/>
    <w:rsid w:val="00033D98"/>
    <w:rsid w:val="000340FE"/>
    <w:rsid w:val="0003447C"/>
    <w:rsid w:val="00035B1E"/>
    <w:rsid w:val="00056DBA"/>
    <w:rsid w:val="000722C7"/>
    <w:rsid w:val="00080001"/>
    <w:rsid w:val="00082486"/>
    <w:rsid w:val="00082647"/>
    <w:rsid w:val="0008574A"/>
    <w:rsid w:val="00087D3E"/>
    <w:rsid w:val="00090DA4"/>
    <w:rsid w:val="00093AD7"/>
    <w:rsid w:val="000955BC"/>
    <w:rsid w:val="00095D60"/>
    <w:rsid w:val="000A23CD"/>
    <w:rsid w:val="000A4109"/>
    <w:rsid w:val="000A6817"/>
    <w:rsid w:val="000B4F87"/>
    <w:rsid w:val="000B688B"/>
    <w:rsid w:val="000B7958"/>
    <w:rsid w:val="000C14C2"/>
    <w:rsid w:val="000C2D28"/>
    <w:rsid w:val="000C53EC"/>
    <w:rsid w:val="000C66A7"/>
    <w:rsid w:val="000C7226"/>
    <w:rsid w:val="000C73E1"/>
    <w:rsid w:val="000C77C9"/>
    <w:rsid w:val="000D06AF"/>
    <w:rsid w:val="000D1977"/>
    <w:rsid w:val="000D3714"/>
    <w:rsid w:val="000D769E"/>
    <w:rsid w:val="000E07E6"/>
    <w:rsid w:val="000E3413"/>
    <w:rsid w:val="000E6592"/>
    <w:rsid w:val="000E69E3"/>
    <w:rsid w:val="000F63FA"/>
    <w:rsid w:val="000F6E48"/>
    <w:rsid w:val="001000C0"/>
    <w:rsid w:val="001070DE"/>
    <w:rsid w:val="0010759A"/>
    <w:rsid w:val="00107FE2"/>
    <w:rsid w:val="00114358"/>
    <w:rsid w:val="00117999"/>
    <w:rsid w:val="00120724"/>
    <w:rsid w:val="0012229B"/>
    <w:rsid w:val="00124595"/>
    <w:rsid w:val="00126668"/>
    <w:rsid w:val="0013053A"/>
    <w:rsid w:val="00135197"/>
    <w:rsid w:val="00146C3E"/>
    <w:rsid w:val="00147C11"/>
    <w:rsid w:val="00151169"/>
    <w:rsid w:val="00152E2A"/>
    <w:rsid w:val="0015314C"/>
    <w:rsid w:val="00157CAF"/>
    <w:rsid w:val="00164750"/>
    <w:rsid w:val="001649C7"/>
    <w:rsid w:val="00173C7A"/>
    <w:rsid w:val="0018450E"/>
    <w:rsid w:val="00187799"/>
    <w:rsid w:val="001924BB"/>
    <w:rsid w:val="0019309C"/>
    <w:rsid w:val="00195EFF"/>
    <w:rsid w:val="00197DD6"/>
    <w:rsid w:val="001A353D"/>
    <w:rsid w:val="001B1AC7"/>
    <w:rsid w:val="001B39B3"/>
    <w:rsid w:val="001C2346"/>
    <w:rsid w:val="001C2477"/>
    <w:rsid w:val="001C2637"/>
    <w:rsid w:val="001C2F1E"/>
    <w:rsid w:val="001C48F0"/>
    <w:rsid w:val="001C5980"/>
    <w:rsid w:val="001C7F86"/>
    <w:rsid w:val="001D1B93"/>
    <w:rsid w:val="001D38BC"/>
    <w:rsid w:val="001D5A01"/>
    <w:rsid w:val="001D6390"/>
    <w:rsid w:val="001E7F2C"/>
    <w:rsid w:val="001F15CB"/>
    <w:rsid w:val="00202FAD"/>
    <w:rsid w:val="0020372E"/>
    <w:rsid w:val="002037B4"/>
    <w:rsid w:val="00210155"/>
    <w:rsid w:val="00210990"/>
    <w:rsid w:val="00217C27"/>
    <w:rsid w:val="00220544"/>
    <w:rsid w:val="002226F3"/>
    <w:rsid w:val="00224D6D"/>
    <w:rsid w:val="00225BBB"/>
    <w:rsid w:val="002262D8"/>
    <w:rsid w:val="0022666E"/>
    <w:rsid w:val="002279D1"/>
    <w:rsid w:val="00231674"/>
    <w:rsid w:val="0023321C"/>
    <w:rsid w:val="0023655A"/>
    <w:rsid w:val="002414E1"/>
    <w:rsid w:val="00243F1D"/>
    <w:rsid w:val="00247B05"/>
    <w:rsid w:val="00251AF9"/>
    <w:rsid w:val="0025619B"/>
    <w:rsid w:val="00260628"/>
    <w:rsid w:val="00263B81"/>
    <w:rsid w:val="002716DB"/>
    <w:rsid w:val="002725B2"/>
    <w:rsid w:val="00274451"/>
    <w:rsid w:val="00275B1F"/>
    <w:rsid w:val="00277D62"/>
    <w:rsid w:val="00285339"/>
    <w:rsid w:val="00287E26"/>
    <w:rsid w:val="00290A45"/>
    <w:rsid w:val="002A4DA1"/>
    <w:rsid w:val="002A596D"/>
    <w:rsid w:val="002B2928"/>
    <w:rsid w:val="002B4D41"/>
    <w:rsid w:val="002B51DA"/>
    <w:rsid w:val="002C3652"/>
    <w:rsid w:val="002D0DFE"/>
    <w:rsid w:val="002D10A4"/>
    <w:rsid w:val="002D3827"/>
    <w:rsid w:val="002D4A94"/>
    <w:rsid w:val="002D4B31"/>
    <w:rsid w:val="002E0B1B"/>
    <w:rsid w:val="002E38FB"/>
    <w:rsid w:val="002E4D3A"/>
    <w:rsid w:val="002E5371"/>
    <w:rsid w:val="002E587E"/>
    <w:rsid w:val="002E7273"/>
    <w:rsid w:val="002F0012"/>
    <w:rsid w:val="002F1F10"/>
    <w:rsid w:val="0030443E"/>
    <w:rsid w:val="00305AF5"/>
    <w:rsid w:val="00305BB0"/>
    <w:rsid w:val="00310B18"/>
    <w:rsid w:val="0031279D"/>
    <w:rsid w:val="00313CBB"/>
    <w:rsid w:val="003214A6"/>
    <w:rsid w:val="003223C1"/>
    <w:rsid w:val="0032511D"/>
    <w:rsid w:val="00332C36"/>
    <w:rsid w:val="00337710"/>
    <w:rsid w:val="0033784C"/>
    <w:rsid w:val="00337936"/>
    <w:rsid w:val="00343F0F"/>
    <w:rsid w:val="00347071"/>
    <w:rsid w:val="003519E9"/>
    <w:rsid w:val="0035269F"/>
    <w:rsid w:val="00364F98"/>
    <w:rsid w:val="0036503F"/>
    <w:rsid w:val="00367674"/>
    <w:rsid w:val="00367CDF"/>
    <w:rsid w:val="0037632C"/>
    <w:rsid w:val="003A72FA"/>
    <w:rsid w:val="003B08A8"/>
    <w:rsid w:val="003B24D5"/>
    <w:rsid w:val="003B52A5"/>
    <w:rsid w:val="003C095A"/>
    <w:rsid w:val="003C16DF"/>
    <w:rsid w:val="003C79E4"/>
    <w:rsid w:val="003D12FB"/>
    <w:rsid w:val="003D4D1B"/>
    <w:rsid w:val="003D7121"/>
    <w:rsid w:val="003E20FE"/>
    <w:rsid w:val="003E3332"/>
    <w:rsid w:val="003E5CE1"/>
    <w:rsid w:val="003E7673"/>
    <w:rsid w:val="003E79FC"/>
    <w:rsid w:val="00400741"/>
    <w:rsid w:val="0040078D"/>
    <w:rsid w:val="00420DCA"/>
    <w:rsid w:val="0042125F"/>
    <w:rsid w:val="004230FE"/>
    <w:rsid w:val="00423839"/>
    <w:rsid w:val="00423E29"/>
    <w:rsid w:val="00425033"/>
    <w:rsid w:val="00425E0A"/>
    <w:rsid w:val="0042653C"/>
    <w:rsid w:val="00426795"/>
    <w:rsid w:val="004276B0"/>
    <w:rsid w:val="00430AB9"/>
    <w:rsid w:val="00432C2F"/>
    <w:rsid w:val="004349B4"/>
    <w:rsid w:val="00434C16"/>
    <w:rsid w:val="0044263A"/>
    <w:rsid w:val="00443B89"/>
    <w:rsid w:val="00446BFE"/>
    <w:rsid w:val="0044771C"/>
    <w:rsid w:val="004535DF"/>
    <w:rsid w:val="0045424D"/>
    <w:rsid w:val="00454F8D"/>
    <w:rsid w:val="004550F5"/>
    <w:rsid w:val="00455472"/>
    <w:rsid w:val="00461AC1"/>
    <w:rsid w:val="00465DAC"/>
    <w:rsid w:val="004663C8"/>
    <w:rsid w:val="0047485B"/>
    <w:rsid w:val="00483922"/>
    <w:rsid w:val="0049024C"/>
    <w:rsid w:val="00490AA4"/>
    <w:rsid w:val="004917D6"/>
    <w:rsid w:val="004924F2"/>
    <w:rsid w:val="00494E0C"/>
    <w:rsid w:val="004A745A"/>
    <w:rsid w:val="004B17CD"/>
    <w:rsid w:val="004B496D"/>
    <w:rsid w:val="004B5040"/>
    <w:rsid w:val="004C038E"/>
    <w:rsid w:val="004C0408"/>
    <w:rsid w:val="004C0E72"/>
    <w:rsid w:val="004D181B"/>
    <w:rsid w:val="004D348F"/>
    <w:rsid w:val="004D44D5"/>
    <w:rsid w:val="004D5099"/>
    <w:rsid w:val="004E3AC1"/>
    <w:rsid w:val="004E6113"/>
    <w:rsid w:val="004E6E0D"/>
    <w:rsid w:val="004F66A9"/>
    <w:rsid w:val="004F6B67"/>
    <w:rsid w:val="00500710"/>
    <w:rsid w:val="00502F6D"/>
    <w:rsid w:val="005055DC"/>
    <w:rsid w:val="00505A92"/>
    <w:rsid w:val="00506272"/>
    <w:rsid w:val="0050697C"/>
    <w:rsid w:val="00506E3C"/>
    <w:rsid w:val="0051194E"/>
    <w:rsid w:val="00516E7A"/>
    <w:rsid w:val="0052453F"/>
    <w:rsid w:val="00530FB1"/>
    <w:rsid w:val="00533BB5"/>
    <w:rsid w:val="00540275"/>
    <w:rsid w:val="00540C94"/>
    <w:rsid w:val="00542C52"/>
    <w:rsid w:val="00543D03"/>
    <w:rsid w:val="005508B6"/>
    <w:rsid w:val="00550E1C"/>
    <w:rsid w:val="00551527"/>
    <w:rsid w:val="00562072"/>
    <w:rsid w:val="0056407C"/>
    <w:rsid w:val="00571CD4"/>
    <w:rsid w:val="00573115"/>
    <w:rsid w:val="00575A92"/>
    <w:rsid w:val="005849BE"/>
    <w:rsid w:val="00587180"/>
    <w:rsid w:val="005874B4"/>
    <w:rsid w:val="00590464"/>
    <w:rsid w:val="005922A9"/>
    <w:rsid w:val="005A2F8C"/>
    <w:rsid w:val="005A3794"/>
    <w:rsid w:val="005A3E2A"/>
    <w:rsid w:val="005A45B6"/>
    <w:rsid w:val="005A64FB"/>
    <w:rsid w:val="005B1792"/>
    <w:rsid w:val="005B1E1E"/>
    <w:rsid w:val="005B4E03"/>
    <w:rsid w:val="005C59EA"/>
    <w:rsid w:val="005D0AFC"/>
    <w:rsid w:val="005D14F8"/>
    <w:rsid w:val="005D365F"/>
    <w:rsid w:val="005D6FA8"/>
    <w:rsid w:val="005E1756"/>
    <w:rsid w:val="005F0E45"/>
    <w:rsid w:val="005F1254"/>
    <w:rsid w:val="005F1C87"/>
    <w:rsid w:val="005F23C7"/>
    <w:rsid w:val="005F4BC4"/>
    <w:rsid w:val="006044A1"/>
    <w:rsid w:val="00607B15"/>
    <w:rsid w:val="006103EC"/>
    <w:rsid w:val="006148AD"/>
    <w:rsid w:val="00615007"/>
    <w:rsid w:val="00617819"/>
    <w:rsid w:val="006232DB"/>
    <w:rsid w:val="00635EFB"/>
    <w:rsid w:val="00637EA5"/>
    <w:rsid w:val="00641B41"/>
    <w:rsid w:val="00642C62"/>
    <w:rsid w:val="00643DE4"/>
    <w:rsid w:val="00646793"/>
    <w:rsid w:val="00656D83"/>
    <w:rsid w:val="00660572"/>
    <w:rsid w:val="006618D7"/>
    <w:rsid w:val="0066539B"/>
    <w:rsid w:val="0067237F"/>
    <w:rsid w:val="00674FE5"/>
    <w:rsid w:val="00681EAB"/>
    <w:rsid w:val="006855C4"/>
    <w:rsid w:val="006903BD"/>
    <w:rsid w:val="006904E3"/>
    <w:rsid w:val="00692E44"/>
    <w:rsid w:val="00693325"/>
    <w:rsid w:val="006A0C6E"/>
    <w:rsid w:val="006A1675"/>
    <w:rsid w:val="006A16DD"/>
    <w:rsid w:val="006A3054"/>
    <w:rsid w:val="006A3AA1"/>
    <w:rsid w:val="006A4D87"/>
    <w:rsid w:val="006A624F"/>
    <w:rsid w:val="006B3809"/>
    <w:rsid w:val="006B3A9B"/>
    <w:rsid w:val="006B42A2"/>
    <w:rsid w:val="006B4468"/>
    <w:rsid w:val="006C0CF3"/>
    <w:rsid w:val="006C0DB5"/>
    <w:rsid w:val="006D036D"/>
    <w:rsid w:val="006E004E"/>
    <w:rsid w:val="006E7C55"/>
    <w:rsid w:val="006F0C1E"/>
    <w:rsid w:val="006F1208"/>
    <w:rsid w:val="006F17AC"/>
    <w:rsid w:val="006F2D9A"/>
    <w:rsid w:val="006F6424"/>
    <w:rsid w:val="006F7271"/>
    <w:rsid w:val="006F7F80"/>
    <w:rsid w:val="00703AC3"/>
    <w:rsid w:val="007105C8"/>
    <w:rsid w:val="00712D5B"/>
    <w:rsid w:val="00714455"/>
    <w:rsid w:val="00717562"/>
    <w:rsid w:val="0072137B"/>
    <w:rsid w:val="00730E97"/>
    <w:rsid w:val="00732F06"/>
    <w:rsid w:val="00737B02"/>
    <w:rsid w:val="00740D30"/>
    <w:rsid w:val="00741EF4"/>
    <w:rsid w:val="0074360A"/>
    <w:rsid w:val="00747DDB"/>
    <w:rsid w:val="00750021"/>
    <w:rsid w:val="00750ED7"/>
    <w:rsid w:val="00751462"/>
    <w:rsid w:val="007514F5"/>
    <w:rsid w:val="00754695"/>
    <w:rsid w:val="00763A65"/>
    <w:rsid w:val="00772691"/>
    <w:rsid w:val="00773E8E"/>
    <w:rsid w:val="00774210"/>
    <w:rsid w:val="00787276"/>
    <w:rsid w:val="00791884"/>
    <w:rsid w:val="007A12AA"/>
    <w:rsid w:val="007A12D7"/>
    <w:rsid w:val="007A6935"/>
    <w:rsid w:val="007B236C"/>
    <w:rsid w:val="007B2FD4"/>
    <w:rsid w:val="007B7DF7"/>
    <w:rsid w:val="007C0371"/>
    <w:rsid w:val="007C03FC"/>
    <w:rsid w:val="007C6118"/>
    <w:rsid w:val="007C7A84"/>
    <w:rsid w:val="007D3EF2"/>
    <w:rsid w:val="007D5F79"/>
    <w:rsid w:val="007E0584"/>
    <w:rsid w:val="007E1F41"/>
    <w:rsid w:val="007F2879"/>
    <w:rsid w:val="007F54A0"/>
    <w:rsid w:val="008058E1"/>
    <w:rsid w:val="00805D6A"/>
    <w:rsid w:val="00806016"/>
    <w:rsid w:val="00806025"/>
    <w:rsid w:val="0081167C"/>
    <w:rsid w:val="0081373E"/>
    <w:rsid w:val="00814B71"/>
    <w:rsid w:val="0081782E"/>
    <w:rsid w:val="00822D7C"/>
    <w:rsid w:val="00825379"/>
    <w:rsid w:val="00827799"/>
    <w:rsid w:val="00834103"/>
    <w:rsid w:val="00834575"/>
    <w:rsid w:val="0083557E"/>
    <w:rsid w:val="008408FE"/>
    <w:rsid w:val="008425AC"/>
    <w:rsid w:val="008442FC"/>
    <w:rsid w:val="00845548"/>
    <w:rsid w:val="00855BC7"/>
    <w:rsid w:val="00860AB9"/>
    <w:rsid w:val="00867729"/>
    <w:rsid w:val="008724F2"/>
    <w:rsid w:val="0087554C"/>
    <w:rsid w:val="008759A9"/>
    <w:rsid w:val="00876FA4"/>
    <w:rsid w:val="00883779"/>
    <w:rsid w:val="0088423A"/>
    <w:rsid w:val="0088450C"/>
    <w:rsid w:val="00892D4A"/>
    <w:rsid w:val="00896B46"/>
    <w:rsid w:val="008B39D6"/>
    <w:rsid w:val="008B52C6"/>
    <w:rsid w:val="008C148F"/>
    <w:rsid w:val="008C2785"/>
    <w:rsid w:val="008C56CB"/>
    <w:rsid w:val="008D3E7A"/>
    <w:rsid w:val="008D7F1B"/>
    <w:rsid w:val="008E2F04"/>
    <w:rsid w:val="008E6A3F"/>
    <w:rsid w:val="008F264F"/>
    <w:rsid w:val="008F531D"/>
    <w:rsid w:val="008F7962"/>
    <w:rsid w:val="00902F75"/>
    <w:rsid w:val="00903205"/>
    <w:rsid w:val="009052EF"/>
    <w:rsid w:val="009112C8"/>
    <w:rsid w:val="009127C5"/>
    <w:rsid w:val="009146E7"/>
    <w:rsid w:val="00916838"/>
    <w:rsid w:val="00921233"/>
    <w:rsid w:val="0092784B"/>
    <w:rsid w:val="00932216"/>
    <w:rsid w:val="00933800"/>
    <w:rsid w:val="00933E31"/>
    <w:rsid w:val="00934EE4"/>
    <w:rsid w:val="009434B2"/>
    <w:rsid w:val="009447BE"/>
    <w:rsid w:val="009470B8"/>
    <w:rsid w:val="00947D5A"/>
    <w:rsid w:val="00960B98"/>
    <w:rsid w:val="0096281D"/>
    <w:rsid w:val="00966AB1"/>
    <w:rsid w:val="00971A64"/>
    <w:rsid w:val="00972542"/>
    <w:rsid w:val="009735D7"/>
    <w:rsid w:val="00977168"/>
    <w:rsid w:val="00981035"/>
    <w:rsid w:val="00984716"/>
    <w:rsid w:val="0098492B"/>
    <w:rsid w:val="009860DA"/>
    <w:rsid w:val="00986798"/>
    <w:rsid w:val="0099467B"/>
    <w:rsid w:val="009A5747"/>
    <w:rsid w:val="009A69A0"/>
    <w:rsid w:val="009B1ACD"/>
    <w:rsid w:val="009B1C97"/>
    <w:rsid w:val="009B46DC"/>
    <w:rsid w:val="009B5F58"/>
    <w:rsid w:val="009B6A6D"/>
    <w:rsid w:val="009C0663"/>
    <w:rsid w:val="009C097E"/>
    <w:rsid w:val="009C0BE5"/>
    <w:rsid w:val="009C260D"/>
    <w:rsid w:val="009C6891"/>
    <w:rsid w:val="009C7A9B"/>
    <w:rsid w:val="009D1912"/>
    <w:rsid w:val="009D2C6D"/>
    <w:rsid w:val="009D2FD8"/>
    <w:rsid w:val="009D3D0C"/>
    <w:rsid w:val="009D624D"/>
    <w:rsid w:val="009D75CE"/>
    <w:rsid w:val="009E2432"/>
    <w:rsid w:val="009E55D0"/>
    <w:rsid w:val="009E631E"/>
    <w:rsid w:val="009E703B"/>
    <w:rsid w:val="009F2B09"/>
    <w:rsid w:val="009F643A"/>
    <w:rsid w:val="009F686D"/>
    <w:rsid w:val="009F7E9C"/>
    <w:rsid w:val="00A00C6D"/>
    <w:rsid w:val="00A01184"/>
    <w:rsid w:val="00A0269E"/>
    <w:rsid w:val="00A059FF"/>
    <w:rsid w:val="00A11CBF"/>
    <w:rsid w:val="00A11E54"/>
    <w:rsid w:val="00A140F9"/>
    <w:rsid w:val="00A224AD"/>
    <w:rsid w:val="00A2326E"/>
    <w:rsid w:val="00A23CAF"/>
    <w:rsid w:val="00A25CA4"/>
    <w:rsid w:val="00A269F1"/>
    <w:rsid w:val="00A30116"/>
    <w:rsid w:val="00A35933"/>
    <w:rsid w:val="00A36C8C"/>
    <w:rsid w:val="00A401ED"/>
    <w:rsid w:val="00A4080E"/>
    <w:rsid w:val="00A4134A"/>
    <w:rsid w:val="00A437DA"/>
    <w:rsid w:val="00A47462"/>
    <w:rsid w:val="00A47466"/>
    <w:rsid w:val="00A47B1C"/>
    <w:rsid w:val="00A514E5"/>
    <w:rsid w:val="00A55C54"/>
    <w:rsid w:val="00A57395"/>
    <w:rsid w:val="00A73367"/>
    <w:rsid w:val="00A737AF"/>
    <w:rsid w:val="00A820A9"/>
    <w:rsid w:val="00A85015"/>
    <w:rsid w:val="00A92F1C"/>
    <w:rsid w:val="00A9306E"/>
    <w:rsid w:val="00AA1534"/>
    <w:rsid w:val="00AA16FF"/>
    <w:rsid w:val="00AA3EA1"/>
    <w:rsid w:val="00AA5646"/>
    <w:rsid w:val="00AA7028"/>
    <w:rsid w:val="00AB16AE"/>
    <w:rsid w:val="00AC01A1"/>
    <w:rsid w:val="00AD1731"/>
    <w:rsid w:val="00AD1D9F"/>
    <w:rsid w:val="00AD36E5"/>
    <w:rsid w:val="00AD6924"/>
    <w:rsid w:val="00AE16C4"/>
    <w:rsid w:val="00AE2CBC"/>
    <w:rsid w:val="00AE41C5"/>
    <w:rsid w:val="00AF6A6B"/>
    <w:rsid w:val="00B01C22"/>
    <w:rsid w:val="00B05BCC"/>
    <w:rsid w:val="00B113DC"/>
    <w:rsid w:val="00B14345"/>
    <w:rsid w:val="00B16598"/>
    <w:rsid w:val="00B16C66"/>
    <w:rsid w:val="00B232F7"/>
    <w:rsid w:val="00B23D7E"/>
    <w:rsid w:val="00B260FE"/>
    <w:rsid w:val="00B30A73"/>
    <w:rsid w:val="00B30F75"/>
    <w:rsid w:val="00B333EB"/>
    <w:rsid w:val="00B35550"/>
    <w:rsid w:val="00B41947"/>
    <w:rsid w:val="00B428A9"/>
    <w:rsid w:val="00B430A5"/>
    <w:rsid w:val="00B46E07"/>
    <w:rsid w:val="00B603E6"/>
    <w:rsid w:val="00B61A01"/>
    <w:rsid w:val="00B67F60"/>
    <w:rsid w:val="00B70410"/>
    <w:rsid w:val="00B718FF"/>
    <w:rsid w:val="00B732C9"/>
    <w:rsid w:val="00B73A39"/>
    <w:rsid w:val="00B75932"/>
    <w:rsid w:val="00B76911"/>
    <w:rsid w:val="00B7766C"/>
    <w:rsid w:val="00B77CC5"/>
    <w:rsid w:val="00B8036A"/>
    <w:rsid w:val="00B80EEC"/>
    <w:rsid w:val="00B9014C"/>
    <w:rsid w:val="00B93202"/>
    <w:rsid w:val="00B936E6"/>
    <w:rsid w:val="00B96E73"/>
    <w:rsid w:val="00B96F5D"/>
    <w:rsid w:val="00BA1036"/>
    <w:rsid w:val="00BA318A"/>
    <w:rsid w:val="00BA4917"/>
    <w:rsid w:val="00BB4A7F"/>
    <w:rsid w:val="00BB77D3"/>
    <w:rsid w:val="00BC20E6"/>
    <w:rsid w:val="00BC2F37"/>
    <w:rsid w:val="00BC7ADB"/>
    <w:rsid w:val="00BD6F82"/>
    <w:rsid w:val="00BE0A8B"/>
    <w:rsid w:val="00BE1352"/>
    <w:rsid w:val="00BE297C"/>
    <w:rsid w:val="00BE36FE"/>
    <w:rsid w:val="00BF10A6"/>
    <w:rsid w:val="00BF22AE"/>
    <w:rsid w:val="00BF67BF"/>
    <w:rsid w:val="00BF7A57"/>
    <w:rsid w:val="00C018A0"/>
    <w:rsid w:val="00C04602"/>
    <w:rsid w:val="00C14DCE"/>
    <w:rsid w:val="00C233DB"/>
    <w:rsid w:val="00C2429A"/>
    <w:rsid w:val="00C245FD"/>
    <w:rsid w:val="00C251C8"/>
    <w:rsid w:val="00C30399"/>
    <w:rsid w:val="00C30641"/>
    <w:rsid w:val="00C32C65"/>
    <w:rsid w:val="00C34122"/>
    <w:rsid w:val="00C40019"/>
    <w:rsid w:val="00C44C24"/>
    <w:rsid w:val="00C528E6"/>
    <w:rsid w:val="00C56860"/>
    <w:rsid w:val="00C574E0"/>
    <w:rsid w:val="00C67186"/>
    <w:rsid w:val="00C67849"/>
    <w:rsid w:val="00C73D3D"/>
    <w:rsid w:val="00C74C18"/>
    <w:rsid w:val="00C7530A"/>
    <w:rsid w:val="00C76DB0"/>
    <w:rsid w:val="00C81A9D"/>
    <w:rsid w:val="00C82006"/>
    <w:rsid w:val="00C82587"/>
    <w:rsid w:val="00C82BCF"/>
    <w:rsid w:val="00C83C11"/>
    <w:rsid w:val="00C83FAF"/>
    <w:rsid w:val="00C8419E"/>
    <w:rsid w:val="00C8795E"/>
    <w:rsid w:val="00C90B0F"/>
    <w:rsid w:val="00C93DDE"/>
    <w:rsid w:val="00C94279"/>
    <w:rsid w:val="00C94493"/>
    <w:rsid w:val="00CA08D8"/>
    <w:rsid w:val="00CA41D4"/>
    <w:rsid w:val="00CA75CB"/>
    <w:rsid w:val="00CB2397"/>
    <w:rsid w:val="00CB2E98"/>
    <w:rsid w:val="00CB3EC7"/>
    <w:rsid w:val="00CB70D0"/>
    <w:rsid w:val="00CB7DE9"/>
    <w:rsid w:val="00CC1720"/>
    <w:rsid w:val="00CC4D43"/>
    <w:rsid w:val="00CE261A"/>
    <w:rsid w:val="00CE3F4B"/>
    <w:rsid w:val="00CE4CF2"/>
    <w:rsid w:val="00CE7B7F"/>
    <w:rsid w:val="00CF1CCD"/>
    <w:rsid w:val="00CF3BC7"/>
    <w:rsid w:val="00CF460F"/>
    <w:rsid w:val="00CF5871"/>
    <w:rsid w:val="00CF6AC3"/>
    <w:rsid w:val="00D01D7A"/>
    <w:rsid w:val="00D03F0C"/>
    <w:rsid w:val="00D06AF3"/>
    <w:rsid w:val="00D16CA6"/>
    <w:rsid w:val="00D20DED"/>
    <w:rsid w:val="00D22915"/>
    <w:rsid w:val="00D328A1"/>
    <w:rsid w:val="00D34CB0"/>
    <w:rsid w:val="00D36C7D"/>
    <w:rsid w:val="00D36E86"/>
    <w:rsid w:val="00D37667"/>
    <w:rsid w:val="00D408ED"/>
    <w:rsid w:val="00D46B8F"/>
    <w:rsid w:val="00D4786C"/>
    <w:rsid w:val="00D555C8"/>
    <w:rsid w:val="00D55AA7"/>
    <w:rsid w:val="00D55FA3"/>
    <w:rsid w:val="00D5602A"/>
    <w:rsid w:val="00D56EA8"/>
    <w:rsid w:val="00D61699"/>
    <w:rsid w:val="00D71C3C"/>
    <w:rsid w:val="00D71C61"/>
    <w:rsid w:val="00D773CE"/>
    <w:rsid w:val="00D806EE"/>
    <w:rsid w:val="00D80FD3"/>
    <w:rsid w:val="00D875E5"/>
    <w:rsid w:val="00D9401C"/>
    <w:rsid w:val="00D9788C"/>
    <w:rsid w:val="00DA1C99"/>
    <w:rsid w:val="00DA6073"/>
    <w:rsid w:val="00DA676E"/>
    <w:rsid w:val="00DA7EB9"/>
    <w:rsid w:val="00DB0DE3"/>
    <w:rsid w:val="00DB40F7"/>
    <w:rsid w:val="00DB72AF"/>
    <w:rsid w:val="00DC2426"/>
    <w:rsid w:val="00DC26AA"/>
    <w:rsid w:val="00DC34A9"/>
    <w:rsid w:val="00DC7413"/>
    <w:rsid w:val="00DD088E"/>
    <w:rsid w:val="00DD212D"/>
    <w:rsid w:val="00DD319F"/>
    <w:rsid w:val="00DD3750"/>
    <w:rsid w:val="00DD49FC"/>
    <w:rsid w:val="00DD7A86"/>
    <w:rsid w:val="00DE186E"/>
    <w:rsid w:val="00DE55F3"/>
    <w:rsid w:val="00DE6DEB"/>
    <w:rsid w:val="00DE6F70"/>
    <w:rsid w:val="00DE715B"/>
    <w:rsid w:val="00DF0267"/>
    <w:rsid w:val="00DF0415"/>
    <w:rsid w:val="00DF751C"/>
    <w:rsid w:val="00E02FE5"/>
    <w:rsid w:val="00E102E5"/>
    <w:rsid w:val="00E16E93"/>
    <w:rsid w:val="00E2685B"/>
    <w:rsid w:val="00E27113"/>
    <w:rsid w:val="00E32632"/>
    <w:rsid w:val="00E32CAD"/>
    <w:rsid w:val="00E413A5"/>
    <w:rsid w:val="00E415FB"/>
    <w:rsid w:val="00E51708"/>
    <w:rsid w:val="00E55A77"/>
    <w:rsid w:val="00E61473"/>
    <w:rsid w:val="00E61C94"/>
    <w:rsid w:val="00E6249E"/>
    <w:rsid w:val="00E63735"/>
    <w:rsid w:val="00E6397E"/>
    <w:rsid w:val="00E65A04"/>
    <w:rsid w:val="00E65AAA"/>
    <w:rsid w:val="00E664BC"/>
    <w:rsid w:val="00E7009A"/>
    <w:rsid w:val="00E755F3"/>
    <w:rsid w:val="00E7642F"/>
    <w:rsid w:val="00E80BA4"/>
    <w:rsid w:val="00E8127D"/>
    <w:rsid w:val="00E852F2"/>
    <w:rsid w:val="00E8722F"/>
    <w:rsid w:val="00E902CA"/>
    <w:rsid w:val="00E944AA"/>
    <w:rsid w:val="00E96BAF"/>
    <w:rsid w:val="00E9732A"/>
    <w:rsid w:val="00E97B17"/>
    <w:rsid w:val="00EA18C0"/>
    <w:rsid w:val="00EA3753"/>
    <w:rsid w:val="00EA5FD1"/>
    <w:rsid w:val="00EB303B"/>
    <w:rsid w:val="00EB43B5"/>
    <w:rsid w:val="00EB4729"/>
    <w:rsid w:val="00EB577B"/>
    <w:rsid w:val="00EB5F80"/>
    <w:rsid w:val="00EB7DF8"/>
    <w:rsid w:val="00EC25D1"/>
    <w:rsid w:val="00EC6CB4"/>
    <w:rsid w:val="00EC720E"/>
    <w:rsid w:val="00ED1B50"/>
    <w:rsid w:val="00ED1F7F"/>
    <w:rsid w:val="00ED6999"/>
    <w:rsid w:val="00ED7585"/>
    <w:rsid w:val="00EE5ADC"/>
    <w:rsid w:val="00EF76CC"/>
    <w:rsid w:val="00F02ADB"/>
    <w:rsid w:val="00F10815"/>
    <w:rsid w:val="00F123E9"/>
    <w:rsid w:val="00F1393A"/>
    <w:rsid w:val="00F22F94"/>
    <w:rsid w:val="00F274C3"/>
    <w:rsid w:val="00F310EC"/>
    <w:rsid w:val="00F366CC"/>
    <w:rsid w:val="00F37C9A"/>
    <w:rsid w:val="00F42E92"/>
    <w:rsid w:val="00F44662"/>
    <w:rsid w:val="00F54960"/>
    <w:rsid w:val="00F62F02"/>
    <w:rsid w:val="00F64655"/>
    <w:rsid w:val="00F6577A"/>
    <w:rsid w:val="00F67CFC"/>
    <w:rsid w:val="00F705F3"/>
    <w:rsid w:val="00F71D4C"/>
    <w:rsid w:val="00F7376D"/>
    <w:rsid w:val="00F7384B"/>
    <w:rsid w:val="00F77F40"/>
    <w:rsid w:val="00F81E7A"/>
    <w:rsid w:val="00F86164"/>
    <w:rsid w:val="00F91495"/>
    <w:rsid w:val="00F958BB"/>
    <w:rsid w:val="00F97719"/>
    <w:rsid w:val="00FA5A17"/>
    <w:rsid w:val="00FA5FBA"/>
    <w:rsid w:val="00FB619A"/>
    <w:rsid w:val="00FC33C8"/>
    <w:rsid w:val="00FC4400"/>
    <w:rsid w:val="00FD00E1"/>
    <w:rsid w:val="00FD539A"/>
    <w:rsid w:val="00FD5659"/>
    <w:rsid w:val="00FD5D5C"/>
    <w:rsid w:val="00FD7F19"/>
    <w:rsid w:val="00FF2D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8F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E38FB"/>
    <w:pPr>
      <w:widowControl w:val="0"/>
      <w:autoSpaceDE w:val="0"/>
      <w:autoSpaceDN w:val="0"/>
      <w:adjustRightInd w:val="0"/>
    </w:pPr>
    <w:rPr>
      <w:rFonts w:ascii="Microsoft YaHei" w:hAnsi="Microsoft YaHei" w:cs="Microsoft YaHei"/>
      <w:color w:val="000000"/>
      <w:kern w:val="0"/>
      <w:sz w:val="24"/>
      <w:szCs w:val="24"/>
    </w:rPr>
  </w:style>
  <w:style w:type="table" w:styleId="a3">
    <w:name w:val="Table Grid"/>
    <w:basedOn w:val="a1"/>
    <w:uiPriority w:val="59"/>
    <w:rsid w:val="002E38F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赵敏</dc:creator>
  <cp:lastModifiedBy>赵敏</cp:lastModifiedBy>
  <cp:revision>1</cp:revision>
  <dcterms:created xsi:type="dcterms:W3CDTF">2017-03-20T01:39:00Z</dcterms:created>
  <dcterms:modified xsi:type="dcterms:W3CDTF">2017-03-20T01:39:00Z</dcterms:modified>
</cp:coreProperties>
</file>